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71" w:rsidRPr="00EC059D" w:rsidRDefault="00237671" w:rsidP="00237671">
      <w:pPr>
        <w:jc w:val="center"/>
        <w:rPr>
          <w:rFonts w:ascii="Century Gothic" w:hAnsi="Century Gothic" w:cs="Aharoni"/>
          <w:b/>
          <w:sz w:val="32"/>
          <w:szCs w:val="32"/>
        </w:rPr>
      </w:pPr>
      <w:r w:rsidRPr="00EC059D">
        <w:rPr>
          <w:rFonts w:ascii="Century Gothic" w:hAnsi="Century Gothic" w:cs="Aharoni"/>
          <w:b/>
          <w:sz w:val="32"/>
          <w:szCs w:val="32"/>
        </w:rPr>
        <w:t xml:space="preserve">Scheduling </w:t>
      </w:r>
      <w:r w:rsidR="00A20894" w:rsidRPr="00EC059D">
        <w:rPr>
          <w:rFonts w:ascii="Century Gothic" w:hAnsi="Century Gothic" w:cs="Aharoni"/>
          <w:b/>
          <w:sz w:val="32"/>
          <w:szCs w:val="32"/>
        </w:rPr>
        <w:t>Procedures</w:t>
      </w:r>
      <w:r w:rsidRPr="00EC059D">
        <w:rPr>
          <w:rFonts w:ascii="Century Gothic" w:hAnsi="Century Gothic" w:cs="Aharoni"/>
          <w:b/>
          <w:sz w:val="32"/>
          <w:szCs w:val="32"/>
        </w:rPr>
        <w:t xml:space="preserve"> for Learning Center</w:t>
      </w:r>
      <w:r w:rsidR="00077B57">
        <w:rPr>
          <w:rFonts w:ascii="Century Gothic" w:hAnsi="Century Gothic" w:cs="Aharoni"/>
          <w:b/>
          <w:sz w:val="32"/>
          <w:szCs w:val="32"/>
        </w:rPr>
        <w:t>s</w:t>
      </w:r>
    </w:p>
    <w:p w:rsidR="00237671" w:rsidRPr="008878C5" w:rsidRDefault="00237671" w:rsidP="008878C5">
      <w:pPr>
        <w:pStyle w:val="Heading1"/>
        <w:rPr>
          <w:b/>
        </w:rPr>
      </w:pPr>
      <w:r w:rsidRPr="008878C5">
        <w:rPr>
          <w:b/>
        </w:rPr>
        <w:t>Initial Scheduling Steps</w:t>
      </w:r>
    </w:p>
    <w:p w:rsidR="00A20894" w:rsidRPr="00ED6F6B" w:rsidRDefault="00A20894" w:rsidP="00A20894">
      <w:pPr>
        <w:pStyle w:val="ListParagraph"/>
        <w:numPr>
          <w:ilvl w:val="0"/>
          <w:numId w:val="1"/>
        </w:numPr>
        <w:rPr>
          <w:rFonts w:ascii="Century Gothic" w:hAnsi="Century Gothic" w:cs="Aharoni"/>
          <w:sz w:val="21"/>
          <w:szCs w:val="21"/>
        </w:rPr>
      </w:pPr>
      <w:r w:rsidRPr="00ED6F6B">
        <w:rPr>
          <w:rFonts w:ascii="Century Gothic" w:hAnsi="Century Gothic" w:cs="Aharoni"/>
          <w:sz w:val="21"/>
          <w:szCs w:val="21"/>
        </w:rPr>
        <w:t xml:space="preserve">Replication of previous like semester </w:t>
      </w:r>
      <w:r w:rsidR="00730F80">
        <w:rPr>
          <w:rFonts w:ascii="Century Gothic" w:hAnsi="Century Gothic" w:cs="Aharoni"/>
          <w:sz w:val="21"/>
          <w:szCs w:val="21"/>
        </w:rPr>
        <w:t>cou</w:t>
      </w:r>
      <w:r w:rsidR="00E9665A">
        <w:rPr>
          <w:rFonts w:ascii="Century Gothic" w:hAnsi="Century Gothic" w:cs="Aharoni"/>
          <w:sz w:val="21"/>
          <w:szCs w:val="21"/>
        </w:rPr>
        <w:t xml:space="preserve">rses are </w:t>
      </w:r>
      <w:r w:rsidRPr="00ED6F6B">
        <w:rPr>
          <w:rFonts w:ascii="Century Gothic" w:hAnsi="Century Gothic" w:cs="Aharoni"/>
          <w:sz w:val="21"/>
          <w:szCs w:val="21"/>
        </w:rPr>
        <w:t>rolled forward to new term.</w:t>
      </w:r>
    </w:p>
    <w:p w:rsidR="00A20894" w:rsidRDefault="00A20894" w:rsidP="00A20894">
      <w:pPr>
        <w:pStyle w:val="ListParagraph"/>
        <w:rPr>
          <w:rFonts w:ascii="Century Gothic" w:hAnsi="Century Gothic" w:cs="Aharoni"/>
          <w:sz w:val="21"/>
          <w:szCs w:val="21"/>
        </w:rPr>
      </w:pPr>
      <w:r>
        <w:rPr>
          <w:rFonts w:ascii="Century Gothic" w:hAnsi="Century Gothic" w:cs="Aharoni"/>
          <w:sz w:val="21"/>
          <w:szCs w:val="21"/>
        </w:rPr>
        <w:t>ITS will roll forward all approved courses/sections from last like semester for departmental review and modification during Planner open window.</w:t>
      </w:r>
    </w:p>
    <w:p w:rsidR="006F2D09" w:rsidRDefault="006F2D09" w:rsidP="00A20894">
      <w:pPr>
        <w:pStyle w:val="ListParagraph"/>
        <w:rPr>
          <w:rFonts w:ascii="Century Gothic" w:hAnsi="Century Gothic" w:cs="Aharoni"/>
          <w:sz w:val="21"/>
          <w:szCs w:val="21"/>
        </w:rPr>
      </w:pPr>
    </w:p>
    <w:p w:rsidR="006F2D09" w:rsidRPr="006F2D09" w:rsidRDefault="006F2D09" w:rsidP="006F2D09">
      <w:pPr>
        <w:pStyle w:val="ListParagraph"/>
        <w:numPr>
          <w:ilvl w:val="0"/>
          <w:numId w:val="1"/>
        </w:numPr>
        <w:rPr>
          <w:rFonts w:ascii="Century Gothic" w:hAnsi="Century Gothic" w:cs="Aharoni"/>
          <w:sz w:val="21"/>
          <w:szCs w:val="21"/>
        </w:rPr>
      </w:pPr>
      <w:r>
        <w:rPr>
          <w:rFonts w:ascii="Century Gothic" w:hAnsi="Century Gothic" w:cs="Aharoni"/>
          <w:sz w:val="21"/>
          <w:szCs w:val="21"/>
        </w:rPr>
        <w:t xml:space="preserve">Learning Centers to date are: Admiralty Centre, Birchwood Fields, Briar Cliff University, Iowa Center for Higher Education, John and Mary </w:t>
      </w:r>
      <w:proofErr w:type="spellStart"/>
      <w:r>
        <w:rPr>
          <w:rFonts w:ascii="Century Gothic" w:hAnsi="Century Gothic" w:cs="Aharoni"/>
          <w:sz w:val="21"/>
          <w:szCs w:val="21"/>
        </w:rPr>
        <w:t>Pappajohn</w:t>
      </w:r>
      <w:proofErr w:type="spellEnd"/>
      <w:r>
        <w:rPr>
          <w:rFonts w:ascii="Century Gothic" w:hAnsi="Century Gothic" w:cs="Aharoni"/>
          <w:sz w:val="21"/>
          <w:szCs w:val="21"/>
        </w:rPr>
        <w:t xml:space="preserve"> Education Center, </w:t>
      </w:r>
      <w:proofErr w:type="spellStart"/>
      <w:r>
        <w:rPr>
          <w:rFonts w:ascii="Century Gothic" w:hAnsi="Century Gothic" w:cs="Aharoni"/>
          <w:sz w:val="21"/>
          <w:szCs w:val="21"/>
        </w:rPr>
        <w:t>Paderno</w:t>
      </w:r>
      <w:proofErr w:type="spellEnd"/>
      <w:r>
        <w:rPr>
          <w:rFonts w:ascii="Century Gothic" w:hAnsi="Century Gothic" w:cs="Aharoni"/>
          <w:sz w:val="21"/>
          <w:szCs w:val="21"/>
        </w:rPr>
        <w:t xml:space="preserve"> del Grappa, Scott Community College, Tippie College of Business Cedar Rapids</w:t>
      </w:r>
    </w:p>
    <w:p w:rsidR="00A20894" w:rsidRDefault="00A20894" w:rsidP="00A20894">
      <w:pPr>
        <w:pStyle w:val="ListParagraph"/>
        <w:rPr>
          <w:rFonts w:ascii="Century Gothic" w:hAnsi="Century Gothic" w:cs="Aharoni"/>
          <w:sz w:val="21"/>
          <w:szCs w:val="21"/>
        </w:rPr>
      </w:pPr>
    </w:p>
    <w:p w:rsidR="005D41CD" w:rsidRDefault="00EC059D" w:rsidP="001966F6">
      <w:pPr>
        <w:rPr>
          <w:rFonts w:ascii="Century Gothic" w:hAnsi="Century Gothic" w:cs="Aharoni"/>
          <w:sz w:val="21"/>
          <w:szCs w:val="21"/>
        </w:rPr>
      </w:pPr>
      <w:r>
        <w:rPr>
          <w:rFonts w:ascii="Century Gothic" w:hAnsi="Century Gothic" w:cs="Aharoni"/>
          <w:sz w:val="21"/>
          <w:szCs w:val="21"/>
        </w:rPr>
        <w:t xml:space="preserve"> </w:t>
      </w:r>
      <w:r w:rsidR="005D41CD" w:rsidRPr="001966F6">
        <w:rPr>
          <w:rFonts w:ascii="Century Gothic" w:hAnsi="Century Gothic" w:cs="Aharoni"/>
          <w:sz w:val="21"/>
          <w:szCs w:val="21"/>
        </w:rPr>
        <w:t>In order for a course to be picked up on any kind of reporting for Learning Centers, the cou</w:t>
      </w:r>
      <w:r w:rsidR="00283830" w:rsidRPr="001966F6">
        <w:rPr>
          <w:rFonts w:ascii="Century Gothic" w:hAnsi="Century Gothic" w:cs="Aharoni"/>
          <w:sz w:val="21"/>
          <w:szCs w:val="21"/>
        </w:rPr>
        <w:t xml:space="preserve">rse must be set up as indicated. </w:t>
      </w:r>
      <w:r w:rsidR="005D41CD" w:rsidRPr="001966F6">
        <w:rPr>
          <w:rFonts w:ascii="Century Gothic" w:hAnsi="Century Gothic" w:cs="Aharoni"/>
          <w:sz w:val="21"/>
          <w:szCs w:val="21"/>
        </w:rPr>
        <w:t xml:space="preserve">  The Learning Center field in the time/location ar</w:t>
      </w:r>
      <w:r>
        <w:rPr>
          <w:rFonts w:ascii="Century Gothic" w:hAnsi="Century Gothic" w:cs="Aharoni"/>
          <w:sz w:val="21"/>
          <w:szCs w:val="21"/>
        </w:rPr>
        <w:t>ea is the trigger for reporting and appropriate tuition assessment.</w:t>
      </w:r>
    </w:p>
    <w:p w:rsidR="00B26164" w:rsidRDefault="00B26164" w:rsidP="008878C5">
      <w:pPr>
        <w:pStyle w:val="Heading2"/>
        <w:rPr>
          <w:b w:val="0"/>
        </w:rPr>
      </w:pPr>
      <w:r>
        <w:t>Learning Centers with Building and Room</w:t>
      </w:r>
    </w:p>
    <w:p w:rsidR="00732C2B" w:rsidRPr="00070791" w:rsidRDefault="00B26164" w:rsidP="00070791">
      <w:pPr>
        <w:pStyle w:val="ListParagraph"/>
        <w:numPr>
          <w:ilvl w:val="0"/>
          <w:numId w:val="2"/>
        </w:numPr>
        <w:rPr>
          <w:rFonts w:ascii="Century Gothic" w:hAnsi="Century Gothic" w:cs="Aharoni"/>
          <w:b/>
          <w:sz w:val="21"/>
          <w:szCs w:val="21"/>
        </w:rPr>
      </w:pPr>
      <w:r w:rsidRPr="00732C2B">
        <w:rPr>
          <w:rFonts w:ascii="Century Gothic" w:hAnsi="Century Gothic" w:cs="Aharoni"/>
          <w:sz w:val="21"/>
          <w:szCs w:val="21"/>
        </w:rPr>
        <w:t xml:space="preserve">Courses that are to be associated to </w:t>
      </w:r>
      <w:r w:rsidR="00732C2B">
        <w:rPr>
          <w:rFonts w:ascii="Century Gothic" w:hAnsi="Century Gothic" w:cs="Aharoni"/>
          <w:sz w:val="21"/>
          <w:szCs w:val="21"/>
        </w:rPr>
        <w:t>JPEC</w:t>
      </w:r>
      <w:r w:rsidR="00723494">
        <w:rPr>
          <w:rFonts w:ascii="Century Gothic" w:hAnsi="Century Gothic" w:cs="Aharoni"/>
          <w:sz w:val="21"/>
          <w:szCs w:val="21"/>
        </w:rPr>
        <w:t xml:space="preserve">, Tippie College of Business Cedar Rapids </w:t>
      </w:r>
      <w:r w:rsidR="00732C2B">
        <w:rPr>
          <w:rFonts w:ascii="Century Gothic" w:hAnsi="Century Gothic" w:cs="Aharoni"/>
          <w:sz w:val="21"/>
          <w:szCs w:val="21"/>
        </w:rPr>
        <w:t>and Birchwood Learning Center will be entered in the following way since they have a building and rooms associated to them.</w:t>
      </w:r>
    </w:p>
    <w:p w:rsidR="00732C2B" w:rsidRDefault="00892493"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 xml:space="preserve">Classroom Scheduling Manages Initial Room Assignment </w:t>
      </w:r>
      <w:r w:rsidR="00732C2B">
        <w:rPr>
          <w:rFonts w:ascii="Century Gothic" w:hAnsi="Century Gothic" w:cs="Aharoni"/>
          <w:sz w:val="21"/>
          <w:szCs w:val="21"/>
        </w:rPr>
        <w:t>– “No”</w:t>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Is off-site – “Yes”</w:t>
      </w:r>
    </w:p>
    <w:p w:rsidR="00732C2B" w:rsidRDefault="00732C2B" w:rsidP="00070791">
      <w:pPr>
        <w:pStyle w:val="ListParagraph"/>
        <w:numPr>
          <w:ilvl w:val="1"/>
          <w:numId w:val="2"/>
        </w:numPr>
        <w:tabs>
          <w:tab w:val="left" w:pos="720"/>
          <w:tab w:val="left" w:pos="1440"/>
          <w:tab w:val="left" w:pos="2160"/>
          <w:tab w:val="left" w:pos="2880"/>
          <w:tab w:val="left" w:pos="3600"/>
          <w:tab w:val="left" w:pos="4440"/>
        </w:tabs>
        <w:rPr>
          <w:rFonts w:ascii="Century Gothic" w:hAnsi="Century Gothic" w:cs="Aharoni"/>
          <w:sz w:val="21"/>
          <w:szCs w:val="21"/>
        </w:rPr>
      </w:pPr>
      <w:r>
        <w:rPr>
          <w:rFonts w:ascii="Century Gothic" w:hAnsi="Century Gothic" w:cs="Aharoni"/>
          <w:sz w:val="21"/>
          <w:szCs w:val="21"/>
        </w:rPr>
        <w:t>Is Learning Center – “Yes”</w:t>
      </w:r>
      <w:r>
        <w:rPr>
          <w:rFonts w:ascii="Century Gothic" w:hAnsi="Century Gothic" w:cs="Aharoni"/>
          <w:sz w:val="21"/>
          <w:szCs w:val="21"/>
        </w:rPr>
        <w:tab/>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Select Correct Learning Center from pulldown menu</w:t>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 xml:space="preserve">Select building in pulldown menu </w:t>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Birchwood = BLC</w:t>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 xml:space="preserve">John and Mary </w:t>
      </w:r>
      <w:proofErr w:type="spellStart"/>
      <w:r>
        <w:rPr>
          <w:rFonts w:ascii="Century Gothic" w:hAnsi="Century Gothic" w:cs="Aharoni"/>
          <w:sz w:val="21"/>
          <w:szCs w:val="21"/>
        </w:rPr>
        <w:t>Pappajohn</w:t>
      </w:r>
      <w:proofErr w:type="spellEnd"/>
      <w:r>
        <w:rPr>
          <w:rFonts w:ascii="Century Gothic" w:hAnsi="Century Gothic" w:cs="Aharoni"/>
          <w:sz w:val="21"/>
          <w:szCs w:val="21"/>
        </w:rPr>
        <w:t xml:space="preserve"> Education Center = PEC</w:t>
      </w:r>
    </w:p>
    <w:p w:rsidR="00627113" w:rsidRPr="006F2D09" w:rsidRDefault="00627113"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Tippie College of Business Cedar Rapids = CBCR</w:t>
      </w:r>
    </w:p>
    <w:p w:rsidR="00732C2B" w:rsidRDefault="00732C2B" w:rsidP="00070791">
      <w:pPr>
        <w:pStyle w:val="ListParagraph"/>
        <w:numPr>
          <w:ilvl w:val="1"/>
          <w:numId w:val="2"/>
        </w:numPr>
        <w:rPr>
          <w:rFonts w:ascii="Century Gothic" w:hAnsi="Century Gothic" w:cs="Aharoni"/>
          <w:sz w:val="21"/>
          <w:szCs w:val="21"/>
        </w:rPr>
      </w:pPr>
      <w:r>
        <w:rPr>
          <w:rFonts w:ascii="Century Gothic" w:hAnsi="Century Gothic" w:cs="Aharoni"/>
          <w:sz w:val="21"/>
          <w:szCs w:val="21"/>
        </w:rPr>
        <w:t xml:space="preserve">Select </w:t>
      </w:r>
      <w:r w:rsidR="00627113">
        <w:rPr>
          <w:rFonts w:ascii="Century Gothic" w:hAnsi="Century Gothic" w:cs="Aharoni"/>
          <w:sz w:val="21"/>
          <w:szCs w:val="21"/>
        </w:rPr>
        <w:t xml:space="preserve">desired </w:t>
      </w:r>
      <w:r>
        <w:rPr>
          <w:rFonts w:ascii="Century Gothic" w:hAnsi="Century Gothic" w:cs="Aharoni"/>
          <w:sz w:val="21"/>
          <w:szCs w:val="21"/>
        </w:rPr>
        <w:t>room in pulldown menu</w:t>
      </w:r>
    </w:p>
    <w:p w:rsidR="005C5092" w:rsidRDefault="005C5092" w:rsidP="00732C2B">
      <w:pPr>
        <w:pStyle w:val="ListParagraph"/>
        <w:ind w:left="1440"/>
        <w:rPr>
          <w:rFonts w:ascii="Century Gothic" w:hAnsi="Century Gothic" w:cs="Aharoni"/>
          <w:sz w:val="21"/>
          <w:szCs w:val="21"/>
        </w:rPr>
      </w:pPr>
    </w:p>
    <w:p w:rsidR="00732C2B" w:rsidRDefault="00F41689" w:rsidP="00732C2B">
      <w:pPr>
        <w:pStyle w:val="ListParagraph"/>
        <w:ind w:left="1440"/>
        <w:rPr>
          <w:rFonts w:ascii="Century Gothic" w:hAnsi="Century Gothic" w:cs="Aharoni"/>
          <w:sz w:val="21"/>
          <w:szCs w:val="21"/>
        </w:rPr>
      </w:pPr>
      <w:r>
        <w:rPr>
          <w:noProof/>
        </w:rPr>
        <w:drawing>
          <wp:inline distT="0" distB="0" distL="0" distR="0" wp14:anchorId="512D002B" wp14:editId="62C2ABAD">
            <wp:extent cx="3867172" cy="352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1811" cy="3546704"/>
                    </a:xfrm>
                    <a:prstGeom prst="rect">
                      <a:avLst/>
                    </a:prstGeom>
                  </pic:spPr>
                </pic:pic>
              </a:graphicData>
            </a:graphic>
          </wp:inline>
        </w:drawing>
      </w:r>
    </w:p>
    <w:p w:rsidR="00245C5F" w:rsidRDefault="00732C2B" w:rsidP="008878C5">
      <w:pPr>
        <w:pStyle w:val="Heading2"/>
        <w:rPr>
          <w:b w:val="0"/>
        </w:rPr>
      </w:pPr>
      <w:r>
        <w:lastRenderedPageBreak/>
        <w:t>Learning Centers without Building and Room</w:t>
      </w:r>
    </w:p>
    <w:p w:rsidR="00732C2B" w:rsidRDefault="00732C2B" w:rsidP="00732C2B">
      <w:pPr>
        <w:pStyle w:val="ListParagraph"/>
        <w:numPr>
          <w:ilvl w:val="0"/>
          <w:numId w:val="1"/>
        </w:numPr>
        <w:rPr>
          <w:rFonts w:ascii="Century Gothic" w:hAnsi="Century Gothic" w:cs="Aharoni"/>
          <w:sz w:val="21"/>
          <w:szCs w:val="21"/>
        </w:rPr>
      </w:pPr>
      <w:r>
        <w:rPr>
          <w:rFonts w:ascii="Century Gothic" w:hAnsi="Century Gothic" w:cs="Aharoni"/>
          <w:sz w:val="21"/>
          <w:szCs w:val="21"/>
        </w:rPr>
        <w:t>Learning Centers without building and room are</w:t>
      </w:r>
      <w:r w:rsidR="00627113">
        <w:rPr>
          <w:rFonts w:ascii="Century Gothic" w:hAnsi="Century Gothic" w:cs="Aharoni"/>
          <w:sz w:val="21"/>
          <w:szCs w:val="21"/>
        </w:rPr>
        <w:t>: Admiralty Centre;</w:t>
      </w:r>
      <w:r>
        <w:rPr>
          <w:rFonts w:ascii="Century Gothic" w:hAnsi="Century Gothic" w:cs="Aharoni"/>
          <w:sz w:val="21"/>
          <w:szCs w:val="21"/>
        </w:rPr>
        <w:t xml:space="preserve"> </w:t>
      </w:r>
      <w:r w:rsidR="00627113">
        <w:rPr>
          <w:rFonts w:ascii="Century Gothic" w:hAnsi="Century Gothic" w:cs="Aharoni"/>
          <w:sz w:val="21"/>
          <w:szCs w:val="21"/>
        </w:rPr>
        <w:t xml:space="preserve">Briar Cliff University; </w:t>
      </w:r>
      <w:proofErr w:type="spellStart"/>
      <w:r w:rsidR="00627113">
        <w:rPr>
          <w:rFonts w:ascii="Century Gothic" w:hAnsi="Century Gothic" w:cs="Aharoni"/>
          <w:sz w:val="21"/>
          <w:szCs w:val="21"/>
        </w:rPr>
        <w:t>Paderno</w:t>
      </w:r>
      <w:proofErr w:type="spellEnd"/>
      <w:r w:rsidR="00627113">
        <w:rPr>
          <w:rFonts w:ascii="Century Gothic" w:hAnsi="Century Gothic" w:cs="Aharoni"/>
          <w:sz w:val="21"/>
          <w:szCs w:val="21"/>
        </w:rPr>
        <w:t xml:space="preserve"> del Grappa; Scott Community College;</w:t>
      </w:r>
      <w:r>
        <w:rPr>
          <w:rFonts w:ascii="Century Gothic" w:hAnsi="Century Gothic" w:cs="Aharoni"/>
          <w:sz w:val="21"/>
          <w:szCs w:val="21"/>
        </w:rPr>
        <w:t xml:space="preserve"> </w:t>
      </w:r>
      <w:r w:rsidR="00B5769F">
        <w:rPr>
          <w:rFonts w:ascii="Century Gothic" w:hAnsi="Century Gothic" w:cs="Aharoni"/>
          <w:sz w:val="21"/>
          <w:szCs w:val="21"/>
        </w:rPr>
        <w:t xml:space="preserve">and </w:t>
      </w:r>
      <w:r w:rsidR="006B0DA2">
        <w:rPr>
          <w:rFonts w:ascii="Century Gothic" w:hAnsi="Century Gothic" w:cs="Aharoni"/>
          <w:sz w:val="21"/>
          <w:szCs w:val="21"/>
        </w:rPr>
        <w:t>would be entered this way:</w:t>
      </w:r>
    </w:p>
    <w:p w:rsidR="00B47C0A" w:rsidRDefault="00B47C0A" w:rsidP="00B47C0A">
      <w:pPr>
        <w:pStyle w:val="ListParagraph"/>
        <w:rPr>
          <w:rFonts w:ascii="Century Gothic" w:hAnsi="Century Gothic" w:cs="Aharoni"/>
          <w:sz w:val="21"/>
          <w:szCs w:val="21"/>
        </w:rPr>
      </w:pPr>
    </w:p>
    <w:p w:rsidR="00732C2B" w:rsidRDefault="00F41689" w:rsidP="006B0DA2">
      <w:pPr>
        <w:pStyle w:val="ListParagraph"/>
        <w:rPr>
          <w:b/>
        </w:rPr>
      </w:pPr>
      <w:r>
        <w:rPr>
          <w:noProof/>
        </w:rPr>
        <w:drawing>
          <wp:inline distT="0" distB="0" distL="0" distR="0" wp14:anchorId="1D75E204" wp14:editId="1DA685D9">
            <wp:extent cx="4838700" cy="421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9450" cy="4246061"/>
                    </a:xfrm>
                    <a:prstGeom prst="rect">
                      <a:avLst/>
                    </a:prstGeom>
                  </pic:spPr>
                </pic:pic>
              </a:graphicData>
            </a:graphic>
          </wp:inline>
        </w:drawing>
      </w:r>
    </w:p>
    <w:p w:rsidR="005C5092" w:rsidRDefault="005C5092" w:rsidP="005C5092">
      <w:pPr>
        <w:pStyle w:val="ListParagraph"/>
        <w:rPr>
          <w:b/>
          <w:sz w:val="32"/>
          <w:szCs w:val="32"/>
        </w:rPr>
      </w:pPr>
    </w:p>
    <w:p w:rsidR="005C5092" w:rsidRDefault="005C5092" w:rsidP="005C5092">
      <w:pPr>
        <w:pStyle w:val="ListParagraph"/>
        <w:rPr>
          <w:b/>
          <w:sz w:val="32"/>
          <w:szCs w:val="32"/>
        </w:rPr>
      </w:pPr>
    </w:p>
    <w:p w:rsidR="005C5092" w:rsidRDefault="005C5092" w:rsidP="005C5092">
      <w:pPr>
        <w:pStyle w:val="ListParagraph"/>
        <w:rPr>
          <w:sz w:val="24"/>
          <w:szCs w:val="24"/>
        </w:rPr>
      </w:pPr>
      <w:r w:rsidRPr="00F5122F">
        <w:rPr>
          <w:b/>
          <w:sz w:val="32"/>
          <w:szCs w:val="32"/>
        </w:rPr>
        <w:t>***</w:t>
      </w:r>
      <w:r>
        <w:rPr>
          <w:b/>
          <w:sz w:val="32"/>
          <w:szCs w:val="32"/>
        </w:rPr>
        <w:t xml:space="preserve"> </w:t>
      </w:r>
      <w:r>
        <w:rPr>
          <w:sz w:val="24"/>
          <w:szCs w:val="24"/>
        </w:rPr>
        <w:t>Please do not use the “</w:t>
      </w:r>
      <w:proofErr w:type="spellStart"/>
      <w:r>
        <w:rPr>
          <w:sz w:val="24"/>
          <w:szCs w:val="24"/>
        </w:rPr>
        <w:t>off site</w:t>
      </w:r>
      <w:proofErr w:type="spellEnd"/>
      <w:r>
        <w:rPr>
          <w:sz w:val="24"/>
          <w:szCs w:val="24"/>
        </w:rPr>
        <w:t>” information area for Learning Centers.  Addresses are directly related to the Learning Centers.  Once selected via the pull down menu, it will populate the time/location area with that information.</w:t>
      </w:r>
    </w:p>
    <w:p w:rsidR="005C5092" w:rsidRDefault="005C5092" w:rsidP="005C5092">
      <w:pPr>
        <w:pStyle w:val="ListParagraph"/>
        <w:rPr>
          <w:sz w:val="24"/>
          <w:szCs w:val="24"/>
        </w:rPr>
      </w:pPr>
    </w:p>
    <w:p w:rsidR="005C5092" w:rsidRPr="00F5122F" w:rsidRDefault="005C5092" w:rsidP="005C5092">
      <w:pPr>
        <w:pStyle w:val="ListParagraph"/>
        <w:rPr>
          <w:sz w:val="24"/>
          <w:szCs w:val="24"/>
        </w:rPr>
      </w:pPr>
      <w:r>
        <w:rPr>
          <w:noProof/>
        </w:rPr>
        <mc:AlternateContent>
          <mc:Choice Requires="wps">
            <w:drawing>
              <wp:anchor distT="0" distB="0" distL="114300" distR="114300" simplePos="0" relativeHeight="251661312" behindDoc="0" locked="0" layoutInCell="1" allowOverlap="1" wp14:anchorId="55098EF0" wp14:editId="6ABD6FA4">
                <wp:simplePos x="0" y="0"/>
                <wp:positionH relativeFrom="column">
                  <wp:posOffset>4610100</wp:posOffset>
                </wp:positionH>
                <wp:positionV relativeFrom="paragraph">
                  <wp:posOffset>939800</wp:posOffset>
                </wp:positionV>
                <wp:extent cx="978408" cy="484632"/>
                <wp:effectExtent l="19050" t="19050" r="12700" b="29845"/>
                <wp:wrapNone/>
                <wp:docPr id="16" name="Left Arrow 1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5092" w:rsidRDefault="005C5092" w:rsidP="005C5092">
                            <w:pPr>
                              <w:jc w:val="center"/>
                            </w:pPr>
                            <w:r>
                              <w:t>Don’t Use for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098E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left:0;text-align:left;margin-left:363pt;margin-top:74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" adj="5350" fillcolor="#5b9bd5 [3204]" strokecolor="#1f4d78 [1604]" strokeweight="1pt">
                <v:textbox>
                  <w:txbxContent>
                    <w:p w:rsidR="005C5092" w:rsidRDefault="005C5092" w:rsidP="005C5092">
                      <w:pPr>
                        <w:jc w:val="center"/>
                      </w:pPr>
                      <w:r>
                        <w:t>Don’t Use for Lea</w:t>
                      </w:r>
                    </w:p>
                  </w:txbxContent>
                </v:textbox>
              </v:shape>
            </w:pict>
          </mc:Fallback>
        </mc:AlternateContent>
      </w:r>
      <w:r>
        <w:rPr>
          <w:noProof/>
        </w:rPr>
        <w:drawing>
          <wp:inline distT="0" distB="0" distL="0" distR="0" wp14:anchorId="0070DA59" wp14:editId="04752DCD">
            <wp:extent cx="4341767" cy="1544514"/>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9164"/>
                    <a:stretch/>
                  </pic:blipFill>
                  <pic:spPr bwMode="auto">
                    <a:xfrm>
                      <a:off x="0" y="0"/>
                      <a:ext cx="4343400" cy="1545095"/>
                    </a:xfrm>
                    <a:prstGeom prst="rect">
                      <a:avLst/>
                    </a:prstGeom>
                    <a:ln>
                      <a:noFill/>
                    </a:ln>
                    <a:extLst>
                      <a:ext uri="{53640926-AAD7-44D8-BBD7-CCE9431645EC}">
                        <a14:shadowObscured xmlns:a14="http://schemas.microsoft.com/office/drawing/2010/main"/>
                      </a:ext>
                    </a:extLst>
                  </pic:spPr>
                </pic:pic>
              </a:graphicData>
            </a:graphic>
          </wp:inline>
        </w:drawing>
      </w:r>
    </w:p>
    <w:p w:rsidR="005C5092" w:rsidRDefault="005C5092" w:rsidP="006B0DA2">
      <w:pPr>
        <w:pStyle w:val="ListParagraph"/>
        <w:rPr>
          <w:b/>
          <w:sz w:val="32"/>
          <w:szCs w:val="32"/>
        </w:rPr>
      </w:pPr>
    </w:p>
    <w:p w:rsidR="005C5092" w:rsidRDefault="005C5092" w:rsidP="005C5092">
      <w:pPr>
        <w:pStyle w:val="ListParagraph"/>
        <w:rPr>
          <w:rFonts w:ascii="Century Gothic" w:hAnsi="Century Gothic" w:cs="Aharoni"/>
          <w:sz w:val="21"/>
          <w:szCs w:val="21"/>
        </w:rPr>
      </w:pPr>
    </w:p>
    <w:p w:rsidR="005C5092" w:rsidRPr="00BA1764" w:rsidRDefault="005C5092" w:rsidP="008878C5">
      <w:pPr>
        <w:pStyle w:val="Heading2"/>
        <w:rPr>
          <w:b w:val="0"/>
        </w:rPr>
      </w:pPr>
      <w:r w:rsidRPr="00BA1764">
        <w:t>Iowa Center for Higher Education Learning Center</w:t>
      </w:r>
    </w:p>
    <w:p w:rsidR="005C5092" w:rsidRPr="00BA1764" w:rsidRDefault="005C5092" w:rsidP="005C5092">
      <w:pPr>
        <w:pStyle w:val="ListParagraph"/>
        <w:rPr>
          <w:rFonts w:ascii="Century Gothic" w:hAnsi="Century Gothic" w:cs="Aharoni"/>
          <w:b/>
          <w:sz w:val="21"/>
          <w:szCs w:val="21"/>
        </w:rPr>
      </w:pPr>
    </w:p>
    <w:p w:rsidR="005C5092" w:rsidRPr="00863236" w:rsidRDefault="005C5092" w:rsidP="00070791">
      <w:pPr>
        <w:pStyle w:val="ListParagraph"/>
        <w:numPr>
          <w:ilvl w:val="0"/>
          <w:numId w:val="1"/>
        </w:numPr>
        <w:rPr>
          <w:rFonts w:ascii="Century Gothic" w:hAnsi="Century Gothic" w:cs="Aharoni"/>
          <w:sz w:val="21"/>
          <w:szCs w:val="21"/>
        </w:rPr>
      </w:pPr>
      <w:r w:rsidRPr="00863236">
        <w:rPr>
          <w:rFonts w:ascii="Century Gothic" w:hAnsi="Century Gothic" w:cs="Aharoni"/>
          <w:b/>
          <w:sz w:val="21"/>
          <w:szCs w:val="21"/>
        </w:rPr>
        <w:lastRenderedPageBreak/>
        <w:t>ICHE/KFAB</w:t>
      </w:r>
      <w:r w:rsidRPr="00863236">
        <w:rPr>
          <w:rFonts w:ascii="Century Gothic" w:hAnsi="Century Gothic" w:cs="Aharoni"/>
          <w:sz w:val="21"/>
          <w:szCs w:val="21"/>
        </w:rPr>
        <w:t xml:space="preserve"> is the only Learning Center that contains </w:t>
      </w:r>
      <w:r>
        <w:rPr>
          <w:rFonts w:ascii="Century Gothic" w:hAnsi="Century Gothic" w:cs="Aharoni"/>
          <w:sz w:val="21"/>
          <w:szCs w:val="21"/>
        </w:rPr>
        <w:t>University Class</w:t>
      </w:r>
      <w:r w:rsidRPr="00863236">
        <w:rPr>
          <w:rFonts w:ascii="Century Gothic" w:hAnsi="Century Gothic" w:cs="Aharoni"/>
          <w:sz w:val="21"/>
          <w:szCs w:val="21"/>
        </w:rPr>
        <w:t>rooms.  Approved departments to utilize ICHE/KFAB to date are - Entrepreneurship (ENTR); Political Science (POLI); Spanish (SPAN); Sports &amp; Rec Management (SRM); School of Social Work (SSW)</w:t>
      </w:r>
    </w:p>
    <w:p w:rsidR="005C5092" w:rsidRPr="00E24188" w:rsidRDefault="005C5092" w:rsidP="00070791">
      <w:pPr>
        <w:pStyle w:val="ListParagraph"/>
        <w:ind w:left="0"/>
        <w:rPr>
          <w:rFonts w:ascii="Century Gothic" w:hAnsi="Century Gothic" w:cs="Aharoni"/>
          <w:sz w:val="21"/>
          <w:szCs w:val="21"/>
        </w:rPr>
      </w:pPr>
    </w:p>
    <w:p w:rsidR="005C5092" w:rsidRDefault="005C5092" w:rsidP="00070791">
      <w:pPr>
        <w:pStyle w:val="ListParagraph"/>
        <w:numPr>
          <w:ilvl w:val="0"/>
          <w:numId w:val="1"/>
        </w:numPr>
        <w:rPr>
          <w:rFonts w:ascii="Century Gothic" w:hAnsi="Century Gothic" w:cs="Aharoni"/>
          <w:sz w:val="21"/>
          <w:szCs w:val="21"/>
        </w:rPr>
      </w:pPr>
      <w:r>
        <w:rPr>
          <w:rFonts w:ascii="Century Gothic" w:hAnsi="Century Gothic" w:cs="Aharoni"/>
          <w:sz w:val="21"/>
          <w:szCs w:val="21"/>
        </w:rPr>
        <w:t>Course offerings associated to the ICHE Learning Center must use the “Management Type “</w:t>
      </w:r>
      <w:r w:rsidRPr="00E9665A">
        <w:rPr>
          <w:rFonts w:ascii="Century Gothic" w:hAnsi="Century Gothic" w:cs="Aharoni"/>
          <w:b/>
          <w:sz w:val="21"/>
          <w:szCs w:val="21"/>
        </w:rPr>
        <w:t xml:space="preserve">DCE ICHE </w:t>
      </w:r>
      <w:proofErr w:type="spellStart"/>
      <w:r w:rsidRPr="00E9665A">
        <w:rPr>
          <w:rFonts w:ascii="Century Gothic" w:hAnsi="Century Gothic" w:cs="Aharoni"/>
          <w:b/>
          <w:sz w:val="21"/>
          <w:szCs w:val="21"/>
        </w:rPr>
        <w:t>Dist</w:t>
      </w:r>
      <w:proofErr w:type="spellEnd"/>
      <w:r w:rsidRPr="00E9665A">
        <w:rPr>
          <w:rFonts w:ascii="Century Gothic" w:hAnsi="Century Gothic" w:cs="Aharoni"/>
          <w:b/>
          <w:sz w:val="21"/>
          <w:szCs w:val="21"/>
        </w:rPr>
        <w:t xml:space="preserve"> </w:t>
      </w:r>
      <w:proofErr w:type="spellStart"/>
      <w:r w:rsidRPr="00E9665A">
        <w:rPr>
          <w:rFonts w:ascii="Century Gothic" w:hAnsi="Century Gothic" w:cs="Aharoni"/>
          <w:b/>
          <w:sz w:val="21"/>
          <w:szCs w:val="21"/>
        </w:rPr>
        <w:t>Crs</w:t>
      </w:r>
      <w:proofErr w:type="spellEnd"/>
      <w:r w:rsidRPr="00E9665A">
        <w:rPr>
          <w:rFonts w:ascii="Century Gothic" w:hAnsi="Century Gothic" w:cs="Aharoni"/>
          <w:b/>
          <w:sz w:val="21"/>
          <w:szCs w:val="21"/>
        </w:rPr>
        <w:t xml:space="preserve"> (EX*</w:t>
      </w:r>
      <w:r>
        <w:rPr>
          <w:rFonts w:ascii="Century Gothic" w:hAnsi="Century Gothic" w:cs="Aharoni"/>
          <w:sz w:val="21"/>
          <w:szCs w:val="21"/>
        </w:rPr>
        <w:t xml:space="preserve">).  </w:t>
      </w:r>
    </w:p>
    <w:p w:rsidR="005C5092" w:rsidRDefault="005C5092" w:rsidP="00070791">
      <w:pPr>
        <w:pStyle w:val="ListParagraph"/>
        <w:ind w:left="0"/>
        <w:rPr>
          <w:rFonts w:ascii="Century Gothic" w:hAnsi="Century Gothic" w:cs="Aharoni"/>
          <w:sz w:val="21"/>
          <w:szCs w:val="21"/>
        </w:rPr>
      </w:pPr>
    </w:p>
    <w:p w:rsidR="005C5092" w:rsidRDefault="005C5092" w:rsidP="00070791">
      <w:pPr>
        <w:pStyle w:val="ListParagraph"/>
        <w:numPr>
          <w:ilvl w:val="0"/>
          <w:numId w:val="1"/>
        </w:numPr>
        <w:rPr>
          <w:rFonts w:ascii="Century Gothic" w:hAnsi="Century Gothic" w:cs="Aharoni"/>
          <w:sz w:val="21"/>
          <w:szCs w:val="21"/>
        </w:rPr>
      </w:pPr>
      <w:r>
        <w:rPr>
          <w:rFonts w:ascii="Century Gothic" w:hAnsi="Century Gothic" w:cs="Aharoni"/>
          <w:sz w:val="21"/>
          <w:szCs w:val="21"/>
        </w:rPr>
        <w:t>Courses that are to be associated to ICHE Learning Center but do not require a room in KFAB must be entered in the following manner via the time/location area in the MAUI course offering:</w:t>
      </w:r>
    </w:p>
    <w:p w:rsidR="005C5092" w:rsidRDefault="005C5092" w:rsidP="00070791">
      <w:pPr>
        <w:pStyle w:val="ListParagraph"/>
        <w:ind w:left="0"/>
        <w:rPr>
          <w:rFonts w:ascii="Century Gothic" w:hAnsi="Century Gothic" w:cs="Aharoni"/>
          <w:sz w:val="21"/>
          <w:szCs w:val="21"/>
        </w:rPr>
      </w:pPr>
    </w:p>
    <w:p w:rsidR="005C5092" w:rsidRDefault="005C5092" w:rsidP="00070791">
      <w:pPr>
        <w:pStyle w:val="ListParagraph"/>
        <w:numPr>
          <w:ilvl w:val="1"/>
          <w:numId w:val="1"/>
        </w:numPr>
        <w:rPr>
          <w:rFonts w:ascii="Century Gothic" w:hAnsi="Century Gothic" w:cs="Aharoni"/>
          <w:sz w:val="21"/>
          <w:szCs w:val="21"/>
        </w:rPr>
      </w:pPr>
      <w:r>
        <w:rPr>
          <w:rFonts w:ascii="Century Gothic" w:hAnsi="Century Gothic" w:cs="Aharoni"/>
          <w:sz w:val="21"/>
          <w:szCs w:val="21"/>
        </w:rPr>
        <w:t>Classroom Scheduling Manages Initial Room Assignment – “No”</w:t>
      </w:r>
    </w:p>
    <w:p w:rsidR="005C5092" w:rsidRDefault="005C5092" w:rsidP="00070791">
      <w:pPr>
        <w:pStyle w:val="ListParagraph"/>
        <w:numPr>
          <w:ilvl w:val="1"/>
          <w:numId w:val="1"/>
        </w:numPr>
        <w:rPr>
          <w:rFonts w:ascii="Century Gothic" w:hAnsi="Century Gothic" w:cs="Aharoni"/>
          <w:sz w:val="21"/>
          <w:szCs w:val="21"/>
        </w:rPr>
      </w:pPr>
      <w:r>
        <w:rPr>
          <w:rFonts w:ascii="Century Gothic" w:hAnsi="Century Gothic" w:cs="Aharoni"/>
          <w:sz w:val="21"/>
          <w:szCs w:val="21"/>
        </w:rPr>
        <w:t>Is off-site – “Yes”</w:t>
      </w:r>
    </w:p>
    <w:p w:rsidR="005C5092" w:rsidRDefault="005C5092" w:rsidP="00070791">
      <w:pPr>
        <w:pStyle w:val="ListParagraph"/>
        <w:numPr>
          <w:ilvl w:val="1"/>
          <w:numId w:val="1"/>
        </w:numPr>
        <w:rPr>
          <w:rFonts w:ascii="Century Gothic" w:hAnsi="Century Gothic" w:cs="Aharoni"/>
          <w:sz w:val="21"/>
          <w:szCs w:val="21"/>
        </w:rPr>
      </w:pPr>
      <w:r>
        <w:rPr>
          <w:rFonts w:ascii="Century Gothic" w:hAnsi="Century Gothic" w:cs="Aharoni"/>
          <w:sz w:val="21"/>
          <w:szCs w:val="21"/>
        </w:rPr>
        <w:t>Is Learning Center – “Yes”</w:t>
      </w:r>
    </w:p>
    <w:p w:rsidR="005C5092" w:rsidRDefault="005C5092" w:rsidP="00070791">
      <w:pPr>
        <w:pStyle w:val="ListParagraph"/>
        <w:numPr>
          <w:ilvl w:val="1"/>
          <w:numId w:val="1"/>
        </w:numPr>
        <w:rPr>
          <w:rFonts w:ascii="Century Gothic" w:hAnsi="Century Gothic" w:cs="Aharoni"/>
          <w:sz w:val="21"/>
          <w:szCs w:val="21"/>
        </w:rPr>
      </w:pPr>
      <w:r>
        <w:rPr>
          <w:rFonts w:ascii="Century Gothic" w:hAnsi="Century Gothic" w:cs="Aharoni"/>
          <w:sz w:val="21"/>
          <w:szCs w:val="21"/>
        </w:rPr>
        <w:t>Select Correct Learning Center from pulldown menu</w:t>
      </w:r>
    </w:p>
    <w:p w:rsidR="005C5092" w:rsidRDefault="005C5092" w:rsidP="005C5092">
      <w:pPr>
        <w:pStyle w:val="ListParagraph"/>
        <w:rPr>
          <w:rFonts w:ascii="Century Gothic" w:hAnsi="Century Gothic" w:cs="Aharoni"/>
          <w:sz w:val="21"/>
          <w:szCs w:val="21"/>
        </w:rPr>
      </w:pPr>
    </w:p>
    <w:p w:rsidR="005C5092" w:rsidRDefault="005C5092" w:rsidP="006B0DA2">
      <w:pPr>
        <w:pStyle w:val="ListParagraph"/>
        <w:rPr>
          <w:b/>
          <w:sz w:val="32"/>
          <w:szCs w:val="32"/>
        </w:rPr>
      </w:pPr>
      <w:r>
        <w:rPr>
          <w:noProof/>
        </w:rPr>
        <w:drawing>
          <wp:inline distT="0" distB="0" distL="0" distR="0" wp14:anchorId="6D2518A1" wp14:editId="432ED7CB">
            <wp:extent cx="5046867" cy="43815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6286" cy="4424404"/>
                    </a:xfrm>
                    <a:prstGeom prst="rect">
                      <a:avLst/>
                    </a:prstGeom>
                  </pic:spPr>
                </pic:pic>
              </a:graphicData>
            </a:graphic>
          </wp:inline>
        </w:drawing>
      </w:r>
      <w:bookmarkStart w:id="0" w:name="_GoBack"/>
      <w:bookmarkEnd w:id="0"/>
    </w:p>
    <w:p w:rsidR="005C5092" w:rsidRPr="00E24188"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numPr>
          <w:ilvl w:val="0"/>
          <w:numId w:val="2"/>
        </w:numPr>
        <w:rPr>
          <w:rFonts w:ascii="Century Gothic" w:hAnsi="Century Gothic" w:cs="Aharoni"/>
          <w:sz w:val="21"/>
          <w:szCs w:val="21"/>
        </w:rPr>
      </w:pPr>
      <w:r>
        <w:rPr>
          <w:rFonts w:ascii="Century Gothic" w:hAnsi="Century Gothic" w:cs="Aharoni"/>
          <w:sz w:val="21"/>
          <w:szCs w:val="21"/>
        </w:rPr>
        <w:t>Course offerings that are to be associated to the ICHE Learning Center and are requiring a room in KFAB will need to be entered in the following manner via the time/location area in the MAUI course offering:</w:t>
      </w:r>
    </w:p>
    <w:p w:rsidR="005C5092" w:rsidRDefault="005C5092" w:rsidP="005C5092">
      <w:pPr>
        <w:pStyle w:val="ListParagraph"/>
        <w:ind w:left="1500"/>
        <w:rPr>
          <w:rFonts w:ascii="Century Gothic" w:hAnsi="Century Gothic" w:cs="Aharoni"/>
          <w:sz w:val="21"/>
          <w:szCs w:val="21"/>
        </w:rPr>
      </w:pPr>
    </w:p>
    <w:p w:rsidR="005C5092" w:rsidRDefault="005C5092" w:rsidP="005C5092">
      <w:pPr>
        <w:pStyle w:val="ListParagraph"/>
        <w:ind w:left="2160"/>
        <w:rPr>
          <w:rFonts w:ascii="Century Gothic" w:hAnsi="Century Gothic" w:cs="Aharoni"/>
          <w:sz w:val="21"/>
          <w:szCs w:val="21"/>
        </w:rPr>
      </w:pPr>
      <w:r>
        <w:rPr>
          <w:rFonts w:ascii="Century Gothic" w:hAnsi="Century Gothic" w:cs="Aharoni"/>
          <w:sz w:val="21"/>
          <w:szCs w:val="21"/>
        </w:rPr>
        <w:t>A time and day must be entered if a KFAB room is required</w:t>
      </w:r>
    </w:p>
    <w:p w:rsidR="005C5092" w:rsidRDefault="005C5092" w:rsidP="005C5092">
      <w:pPr>
        <w:pStyle w:val="ListParagraph"/>
        <w:ind w:left="1440" w:firstLine="720"/>
        <w:rPr>
          <w:rFonts w:ascii="Century Gothic" w:hAnsi="Century Gothic" w:cs="Aharoni"/>
          <w:sz w:val="21"/>
          <w:szCs w:val="21"/>
        </w:rPr>
      </w:pPr>
      <w:r>
        <w:rPr>
          <w:rFonts w:ascii="Century Gothic" w:hAnsi="Century Gothic" w:cs="Aharoni"/>
          <w:sz w:val="21"/>
          <w:szCs w:val="21"/>
        </w:rPr>
        <w:t xml:space="preserve">Classroom Scheduling Manages Initial Room Assignment – </w:t>
      </w:r>
      <w:r w:rsidRPr="00A1114D">
        <w:rPr>
          <w:rFonts w:ascii="Century Gothic" w:hAnsi="Century Gothic" w:cs="Aharoni"/>
          <w:b/>
          <w:sz w:val="21"/>
          <w:szCs w:val="21"/>
        </w:rPr>
        <w:t>“Yes”</w:t>
      </w:r>
    </w:p>
    <w:p w:rsidR="005C5092" w:rsidRDefault="005C5092" w:rsidP="005C5092">
      <w:pPr>
        <w:pStyle w:val="ListParagraph"/>
        <w:rPr>
          <w:rFonts w:ascii="Century Gothic" w:hAnsi="Century Gothic" w:cs="Aharoni"/>
          <w:sz w:val="21"/>
          <w:szCs w:val="21"/>
        </w:rPr>
      </w:pPr>
      <w:r>
        <w:rPr>
          <w:rFonts w:ascii="Century Gothic" w:hAnsi="Century Gothic" w:cs="Aharoni"/>
          <w:sz w:val="21"/>
          <w:szCs w:val="21"/>
        </w:rPr>
        <w:tab/>
      </w:r>
      <w:r>
        <w:rPr>
          <w:rFonts w:ascii="Century Gothic" w:hAnsi="Century Gothic" w:cs="Aharoni"/>
          <w:sz w:val="21"/>
          <w:szCs w:val="21"/>
        </w:rPr>
        <w:tab/>
        <w:t>In Room Preference Field – indicate a room in KFAB is desired</w:t>
      </w:r>
    </w:p>
    <w:p w:rsidR="005C5092" w:rsidRDefault="005C509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p>
    <w:p w:rsidR="005C5092" w:rsidRDefault="00AD52E2" w:rsidP="005C5092">
      <w:pPr>
        <w:pStyle w:val="ListParagraph"/>
        <w:rPr>
          <w:rFonts w:ascii="Century Gothic" w:hAnsi="Century Gothic" w:cs="Aharoni"/>
          <w:sz w:val="21"/>
          <w:szCs w:val="21"/>
        </w:rPr>
      </w:pPr>
      <w:r>
        <w:rPr>
          <w:noProof/>
        </w:rPr>
        <w:drawing>
          <wp:inline distT="0" distB="0" distL="0" distR="0" wp14:anchorId="0482D27D" wp14:editId="29D1B478">
            <wp:extent cx="5743575" cy="143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7443" cy="1444361"/>
                    </a:xfrm>
                    <a:prstGeom prst="rect">
                      <a:avLst/>
                    </a:prstGeom>
                  </pic:spPr>
                </pic:pic>
              </a:graphicData>
            </a:graphic>
          </wp:inline>
        </w:drawing>
      </w:r>
    </w:p>
    <w:p w:rsidR="00AD52E2" w:rsidRDefault="009E232F" w:rsidP="005C5092">
      <w:pPr>
        <w:pStyle w:val="ListParagraph"/>
        <w:rPr>
          <w:rFonts w:ascii="Century Gothic" w:hAnsi="Century Gothic" w:cs="Aharoni"/>
          <w:sz w:val="21"/>
          <w:szCs w:val="21"/>
        </w:rPr>
      </w:pPr>
      <w:r>
        <w:rPr>
          <w:noProof/>
        </w:rPr>
        <w:t>Learn</w:t>
      </w:r>
      <w:r w:rsidR="00AD52E2">
        <w:rPr>
          <w:noProof/>
        </w:rPr>
        <w:drawing>
          <wp:inline distT="0" distB="0" distL="0" distR="0" wp14:anchorId="4439B438" wp14:editId="74C3B211">
            <wp:extent cx="583519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9146" cy="1174787"/>
                    </a:xfrm>
                    <a:prstGeom prst="rect">
                      <a:avLst/>
                    </a:prstGeom>
                  </pic:spPr>
                </pic:pic>
              </a:graphicData>
            </a:graphic>
          </wp:inline>
        </w:drawing>
      </w:r>
    </w:p>
    <w:p w:rsidR="00AD52E2" w:rsidRDefault="00AD52E2" w:rsidP="005C5092">
      <w:pPr>
        <w:pStyle w:val="ListParagraph"/>
        <w:rPr>
          <w:rFonts w:ascii="Century Gothic" w:hAnsi="Century Gothic" w:cs="Aharoni"/>
          <w:sz w:val="21"/>
          <w:szCs w:val="21"/>
        </w:rPr>
      </w:pPr>
    </w:p>
    <w:p w:rsidR="005C5092" w:rsidRDefault="005C5092" w:rsidP="005C5092">
      <w:pPr>
        <w:pStyle w:val="ListParagraph"/>
        <w:rPr>
          <w:rFonts w:ascii="Century Gothic" w:hAnsi="Century Gothic" w:cs="Aharoni"/>
          <w:sz w:val="21"/>
          <w:szCs w:val="21"/>
        </w:rPr>
      </w:pPr>
      <w:r>
        <w:rPr>
          <w:rFonts w:ascii="Century Gothic" w:hAnsi="Century Gothic" w:cs="Aharoni"/>
          <w:sz w:val="21"/>
          <w:szCs w:val="21"/>
        </w:rPr>
        <w:t>Classroom Scheduling will provide the best fit room for the course offering.  If the distance education room (307) is required departments would need to indicate that in the “room preference” field as well.</w:t>
      </w:r>
    </w:p>
    <w:p w:rsidR="005C5092" w:rsidRDefault="005C5092" w:rsidP="006B0DA2">
      <w:pPr>
        <w:pStyle w:val="ListParagraph"/>
        <w:rPr>
          <w:b/>
          <w:sz w:val="32"/>
          <w:szCs w:val="32"/>
        </w:rPr>
      </w:pPr>
    </w:p>
    <w:p w:rsidR="005C5092" w:rsidRDefault="005C5092" w:rsidP="006B0DA2">
      <w:pPr>
        <w:pStyle w:val="ListParagraph"/>
        <w:rPr>
          <w:b/>
          <w:sz w:val="32"/>
          <w:szCs w:val="32"/>
        </w:rPr>
      </w:pPr>
    </w:p>
    <w:p w:rsidR="005C5092" w:rsidRDefault="005C5092" w:rsidP="006B0DA2">
      <w:pPr>
        <w:pStyle w:val="ListParagraph"/>
        <w:rPr>
          <w:b/>
          <w:sz w:val="32"/>
          <w:szCs w:val="32"/>
        </w:rPr>
      </w:pPr>
    </w:p>
    <w:p w:rsidR="005C5092" w:rsidRDefault="005C5092" w:rsidP="006B0DA2">
      <w:pPr>
        <w:pStyle w:val="ListParagraph"/>
        <w:rPr>
          <w:b/>
          <w:sz w:val="32"/>
          <w:szCs w:val="32"/>
        </w:rPr>
      </w:pPr>
    </w:p>
    <w:sectPr w:rsidR="005C5092" w:rsidSect="00C3795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889"/>
    <w:multiLevelType w:val="hybridMultilevel"/>
    <w:tmpl w:val="0B287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5F9E6841"/>
    <w:multiLevelType w:val="hybridMultilevel"/>
    <w:tmpl w:val="D8B8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71"/>
    <w:rsid w:val="00070791"/>
    <w:rsid w:val="00077B57"/>
    <w:rsid w:val="0016044D"/>
    <w:rsid w:val="001966F6"/>
    <w:rsid w:val="00237671"/>
    <w:rsid w:val="00245C5F"/>
    <w:rsid w:val="00283830"/>
    <w:rsid w:val="003009F3"/>
    <w:rsid w:val="0031608E"/>
    <w:rsid w:val="00434D67"/>
    <w:rsid w:val="004A3E92"/>
    <w:rsid w:val="004D594E"/>
    <w:rsid w:val="005251F5"/>
    <w:rsid w:val="005509A0"/>
    <w:rsid w:val="005B4B5B"/>
    <w:rsid w:val="005C5092"/>
    <w:rsid w:val="005D41CD"/>
    <w:rsid w:val="005E7CD7"/>
    <w:rsid w:val="00627113"/>
    <w:rsid w:val="006923A2"/>
    <w:rsid w:val="006B0DA2"/>
    <w:rsid w:val="006E47B9"/>
    <w:rsid w:val="006F2D09"/>
    <w:rsid w:val="00723494"/>
    <w:rsid w:val="00727089"/>
    <w:rsid w:val="00730F80"/>
    <w:rsid w:val="00732C2B"/>
    <w:rsid w:val="0076244F"/>
    <w:rsid w:val="00774FA6"/>
    <w:rsid w:val="007E611D"/>
    <w:rsid w:val="008245ED"/>
    <w:rsid w:val="00834228"/>
    <w:rsid w:val="00863236"/>
    <w:rsid w:val="008878C5"/>
    <w:rsid w:val="00892493"/>
    <w:rsid w:val="008B71A2"/>
    <w:rsid w:val="008F4C49"/>
    <w:rsid w:val="009175CC"/>
    <w:rsid w:val="009A22CD"/>
    <w:rsid w:val="009E232F"/>
    <w:rsid w:val="009F1CFE"/>
    <w:rsid w:val="00A1114D"/>
    <w:rsid w:val="00A20894"/>
    <w:rsid w:val="00A70E2C"/>
    <w:rsid w:val="00AA0EB1"/>
    <w:rsid w:val="00AD52E2"/>
    <w:rsid w:val="00B16715"/>
    <w:rsid w:val="00B26164"/>
    <w:rsid w:val="00B408AF"/>
    <w:rsid w:val="00B47C0A"/>
    <w:rsid w:val="00B5769F"/>
    <w:rsid w:val="00BA1764"/>
    <w:rsid w:val="00BA3B3A"/>
    <w:rsid w:val="00BF77D9"/>
    <w:rsid w:val="00C37951"/>
    <w:rsid w:val="00CB5EC1"/>
    <w:rsid w:val="00D60573"/>
    <w:rsid w:val="00E24188"/>
    <w:rsid w:val="00E9665A"/>
    <w:rsid w:val="00EC059D"/>
    <w:rsid w:val="00ED6F6B"/>
    <w:rsid w:val="00F41689"/>
    <w:rsid w:val="00F5122F"/>
    <w:rsid w:val="00F65566"/>
    <w:rsid w:val="00FB293C"/>
    <w:rsid w:val="00FE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1F06-303C-4A0C-860F-37424A28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71"/>
  </w:style>
  <w:style w:type="paragraph" w:styleId="Heading1">
    <w:name w:val="heading 1"/>
    <w:basedOn w:val="Normal"/>
    <w:next w:val="Normal"/>
    <w:link w:val="Heading1Char"/>
    <w:uiPriority w:val="9"/>
    <w:qFormat/>
    <w:rsid w:val="008878C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878C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94"/>
    <w:pPr>
      <w:ind w:left="720"/>
      <w:contextualSpacing/>
    </w:pPr>
  </w:style>
  <w:style w:type="paragraph" w:styleId="BalloonText">
    <w:name w:val="Balloon Text"/>
    <w:basedOn w:val="Normal"/>
    <w:link w:val="BalloonTextChar"/>
    <w:uiPriority w:val="99"/>
    <w:semiHidden/>
    <w:unhideWhenUsed/>
    <w:rsid w:val="00EC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59D"/>
    <w:rPr>
      <w:rFonts w:ascii="Segoe UI" w:hAnsi="Segoe UI" w:cs="Segoe UI"/>
      <w:sz w:val="18"/>
      <w:szCs w:val="18"/>
    </w:rPr>
  </w:style>
  <w:style w:type="character" w:customStyle="1" w:styleId="Heading1Char">
    <w:name w:val="Heading 1 Char"/>
    <w:basedOn w:val="DefaultParagraphFont"/>
    <w:link w:val="Heading1"/>
    <w:uiPriority w:val="9"/>
    <w:rsid w:val="008878C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878C5"/>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Charlene K</dc:creator>
  <cp:keywords/>
  <dc:description/>
  <cp:lastModifiedBy>Alberhasky, Jessica</cp:lastModifiedBy>
  <cp:revision>3</cp:revision>
  <cp:lastPrinted>2017-03-17T14:39:00Z</cp:lastPrinted>
  <dcterms:created xsi:type="dcterms:W3CDTF">2017-03-17T14:39:00Z</dcterms:created>
  <dcterms:modified xsi:type="dcterms:W3CDTF">2017-03-17T14:40:00Z</dcterms:modified>
</cp:coreProperties>
</file>